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</w:t>
      </w: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r w:rsidR="004B2650" w:rsidRPr="004B265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 другой стороны,</w:t>
      </w:r>
      <w:r w:rsidR="004B2650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4B2650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4B2650" w:rsidRPr="004B2650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Монтаж, техническое обслуживание и ремонт автоматических установок пожаротушения и их элементов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4B2650">
        <w:rPr>
          <w:rFonts w:ascii="Times New Roman" w:eastAsia="Calibri" w:hAnsi="Times New Roman"/>
          <w:b/>
          <w:sz w:val="24"/>
          <w:szCs w:val="24"/>
          <w:lang w:eastAsia="ru-RU"/>
        </w:rPr>
        <w:t>24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</w:t>
      </w:r>
      <w:r w:rsidR="004B2650">
        <w:rPr>
          <w:rFonts w:ascii="Times New Roman" w:eastAsia="Calibri" w:hAnsi="Times New Roman"/>
          <w:b/>
          <w:sz w:val="24"/>
          <w:szCs w:val="24"/>
          <w:lang w:eastAsia="ru-RU"/>
        </w:rPr>
        <w:t>а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5F290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4B2650" w:rsidRPr="004B265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очная/очно-заочная/</w:t>
      </w:r>
      <w:r w:rsidRPr="004B265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заочная</w:t>
      </w:r>
      <w:r w:rsidRPr="004B265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4B2650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с применением дистанционных образовательных технологий</w:t>
      </w:r>
      <w:r w:rsidR="004B2650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</w:t>
      </w:r>
      <w:r w:rsidR="004B2650" w:rsidRPr="004B2650">
        <w:rPr>
          <w:rFonts w:ascii="Times New Roman" w:eastAsia="Calibri" w:hAnsi="Times New Roman"/>
          <w:snapToGrid w:val="0"/>
          <w:sz w:val="24"/>
          <w:szCs w:val="24"/>
          <w:highlight w:val="yellow"/>
          <w:lang w:eastAsia="ru-RU"/>
        </w:rPr>
        <w:t>(выбрать нужное)</w:t>
      </w:r>
      <w:r w:rsidRPr="004B2650">
        <w:rPr>
          <w:rFonts w:ascii="Times New Roman" w:eastAsia="Calibri" w:hAnsi="Times New Roman"/>
          <w:snapToGrid w:val="0"/>
          <w:sz w:val="24"/>
          <w:szCs w:val="24"/>
          <w:highlight w:val="yellow"/>
          <w:lang w:eastAsia="ru-RU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267048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профессиональной программы и (или) отчисленному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из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числа слушателей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F290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удостоверение о повышении квалификации не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выдается.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гражданина(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4B2650">
        <w:rPr>
          <w:rFonts w:ascii="Times New Roman" w:eastAsia="Calibri" w:hAnsi="Times New Roman"/>
          <w:b/>
          <w:sz w:val="24"/>
          <w:szCs w:val="24"/>
          <w:lang w:eastAsia="ru-RU"/>
        </w:rPr>
        <w:t>2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4B2650">
        <w:rPr>
          <w:rFonts w:ascii="Times New Roman" w:eastAsia="Calibri" w:hAnsi="Times New Roman"/>
          <w:b/>
          <w:sz w:val="24"/>
          <w:szCs w:val="24"/>
          <w:lang w:eastAsia="ru-RU"/>
        </w:rPr>
        <w:t>2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4B2650">
        <w:rPr>
          <w:rFonts w:ascii="Times New Roman" w:eastAsia="Calibri" w:hAnsi="Times New Roman"/>
          <w:b/>
          <w:sz w:val="24"/>
          <w:szCs w:val="24"/>
          <w:lang w:eastAsia="ru-RU"/>
        </w:rPr>
        <w:t>Дв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е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B2650" w:rsidRPr="009243E0" w:rsidRDefault="004B2650" w:rsidP="004B2650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Оплата осуществляется перечислением средств на расчетный счет Исполнителя, указанный в разделе 9 настоящего Договора, в течение 5 дней с момента подписания Договора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до даты подписания приказа о зачислении Обучающегося в число слушателей по дополнительной образовательной профессиональной программе.</w:t>
      </w:r>
    </w:p>
    <w:p w:rsidR="004B2650" w:rsidRPr="009243E0" w:rsidRDefault="004B2650" w:rsidP="004B2650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случае неисполнения обязанностей Заказчика по оплате на условиях, указанных в пункте 4.4. договора, Исполнитель оставляет за собой право не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зачислять Заказчика на обучение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DF1206" w:rsidRPr="0001268C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E3E52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г.Саратов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F347B9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lastRenderedPageBreak/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proofErr w:type="gramStart"/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E5275F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повышения квалификации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4B2650" w:rsidRPr="004B2650">
        <w:rPr>
          <w:rFonts w:ascii="Times New Roman" w:eastAsia="Calibri" w:hAnsi="Times New Roman"/>
          <w:b/>
          <w:sz w:val="24"/>
          <w:szCs w:val="24"/>
          <w:lang w:eastAsia="ar-SA"/>
        </w:rPr>
        <w:t>Монтаж, техническое обслуживание и ремонт автоматических установок пожаротушения и их элементов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4B2650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24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</w:t>
      </w:r>
      <w:r w:rsidR="004B2650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а</w:t>
      </w:r>
      <w:bookmarkStart w:id="0" w:name="_GoBack"/>
      <w:bookmarkEnd w:id="0"/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</w:t>
      </w:r>
      <w:proofErr w:type="gramEnd"/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сумму </w:t>
      </w:r>
      <w:r w:rsidR="004B2650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2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proofErr w:type="gramStart"/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End"/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4ED7"/>
    <w:rsid w:val="0002586F"/>
    <w:rsid w:val="000441AF"/>
    <w:rsid w:val="00062963"/>
    <w:rsid w:val="00070E5F"/>
    <w:rsid w:val="00093C55"/>
    <w:rsid w:val="000B1EC1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4B2650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F1206"/>
    <w:rsid w:val="00E20DAF"/>
    <w:rsid w:val="00E5275F"/>
    <w:rsid w:val="00E55762"/>
    <w:rsid w:val="00E56D6E"/>
    <w:rsid w:val="00E60832"/>
    <w:rsid w:val="00E65418"/>
    <w:rsid w:val="00E66DAA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2023-02-02T10:52:00Z</dcterms:created>
  <dcterms:modified xsi:type="dcterms:W3CDTF">2023-04-12T12:30:00Z</dcterms:modified>
</cp:coreProperties>
</file>